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5-730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003147-9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Гагарина,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привлекаемого к административной ответственности,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 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Рябова </w:t>
      </w:r>
      <w:r>
        <w:rPr>
          <w:rStyle w:val="cat-UserDefinedgrp-2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UserDefinedgrp-10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 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Рябов Ю.П.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помещении общего пользования ТЦ </w:t>
      </w:r>
      <w:r>
        <w:rPr>
          <w:rStyle w:val="cat-UserDefinedgrp-2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находился в общественном месте в состоянии опьянения,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поведение не соответствовало обстановке, имел шаткую походку,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поведение не соответствует обстановке, изменение окраса кожных покровов, неустойчивость тела, неопрятный внешний вид (одежда грязная), невнятную речь, при разговоре исходил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резкий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запах </w:t>
      </w:r>
      <w:r>
        <w:rPr>
          <w:rFonts w:ascii="Times New Roman" w:eastAsia="Times New Roman" w:hAnsi="Times New Roman" w:cs="Times New Roman"/>
          <w:sz w:val="26"/>
          <w:szCs w:val="26"/>
        </w:rPr>
        <w:t>алкоголя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т.е. в виде оскорбляющем человеческое достоинство и общественную нравственность.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Рябов Ю.П.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ину в совершении правонарушения признал полностью</w:t>
      </w:r>
      <w:r>
        <w:rPr>
          <w:rFonts w:ascii="Times New Roman" w:eastAsia="Times New Roman" w:hAnsi="Times New Roman" w:cs="Times New Roman"/>
          <w:sz w:val="26"/>
          <w:szCs w:val="26"/>
        </w:rPr>
        <w:t>, пояснил, что имеет заболевание ВИЧ, эпилепсию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В д</w:t>
      </w:r>
      <w:r>
        <w:rPr>
          <w:rFonts w:ascii="Times New Roman" w:eastAsia="Times New Roman" w:hAnsi="Times New Roman" w:cs="Times New Roman"/>
          <w:sz w:val="26"/>
          <w:szCs w:val="26"/>
        </w:rPr>
        <w:t>оказател</w:t>
      </w:r>
      <w:r>
        <w:rPr>
          <w:rFonts w:ascii="Times New Roman" w:eastAsia="Times New Roman" w:hAnsi="Times New Roman" w:cs="Times New Roman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sz w:val="26"/>
          <w:szCs w:val="26"/>
        </w:rPr>
        <w:t>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Рябова Ю.П.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доказательства: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 от </w:t>
      </w:r>
      <w:r>
        <w:rPr>
          <w:rStyle w:val="cat-UserDefinedgrp-30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УУП ОП-3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УМВД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 направлении на медицинское освидетельствов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ние на состояние опьянения от </w:t>
      </w:r>
      <w:r>
        <w:rPr>
          <w:rStyle w:val="cat-UserDefinedgrp-31rplc-2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акт медицинского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10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Рябова Ю.П. </w:t>
      </w:r>
      <w:r>
        <w:rPr>
          <w:rFonts w:ascii="Times New Roman" w:eastAsia="Times New Roman" w:hAnsi="Times New Roman" w:cs="Times New Roman"/>
          <w:sz w:val="26"/>
          <w:szCs w:val="26"/>
        </w:rPr>
        <w:t>состояние опьянения;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объяснения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Сидоренко Э.Д. от </w:t>
      </w:r>
      <w:r>
        <w:rPr>
          <w:rStyle w:val="cat-UserDefinedgrp-32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Каких–либо письменных ходатайств о предоставлении доказательств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привлекаемым к административной ответственности 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было.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Рябова Ю.П.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появление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ом, смягчающим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</w:t>
      </w:r>
      <w:r>
        <w:rPr>
          <w:rFonts w:ascii="Times New Roman" w:eastAsia="Times New Roman" w:hAnsi="Times New Roman" w:cs="Times New Roman"/>
          <w:sz w:val="26"/>
          <w:szCs w:val="26"/>
        </w:rPr>
        <w:t>признает состояние здоровья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Рябова </w:t>
      </w:r>
      <w:r>
        <w:rPr>
          <w:rStyle w:val="cat-UserDefinedgrp-33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ареста сроком на </w:t>
      </w:r>
      <w:r>
        <w:rPr>
          <w:rStyle w:val="cat-UserDefinedgrp-34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 исчислять с момента задержания с 13:15 час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Style w:val="cat-UserDefinedgrp-35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6rplc-4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10rplc-15">
    <w:name w:val="cat-UserDefined grp-10 rplc-15"/>
    <w:basedOn w:val="DefaultParagraphFont"/>
  </w:style>
  <w:style w:type="character" w:customStyle="1" w:styleId="cat-UserDefinedgrp-29rplc-19">
    <w:name w:val="cat-UserDefined grp-29 rplc-19"/>
    <w:basedOn w:val="DefaultParagraphFont"/>
  </w:style>
  <w:style w:type="character" w:customStyle="1" w:styleId="cat-UserDefinedgrp-30rplc-23">
    <w:name w:val="cat-UserDefined grp-30 rplc-23"/>
    <w:basedOn w:val="DefaultParagraphFont"/>
  </w:style>
  <w:style w:type="character" w:customStyle="1" w:styleId="cat-UserDefinedgrp-31rplc-26">
    <w:name w:val="cat-UserDefined grp-31 rplc-26"/>
    <w:basedOn w:val="DefaultParagraphFont"/>
  </w:style>
  <w:style w:type="character" w:customStyle="1" w:styleId="cat-UserDefinedgrp-10rplc-27">
    <w:name w:val="cat-UserDefined grp-10 rplc-27"/>
    <w:basedOn w:val="DefaultParagraphFont"/>
  </w:style>
  <w:style w:type="character" w:customStyle="1" w:styleId="cat-UserDefinedgrp-32rplc-32">
    <w:name w:val="cat-UserDefined grp-32 rplc-32"/>
    <w:basedOn w:val="DefaultParagraphFont"/>
  </w:style>
  <w:style w:type="character" w:customStyle="1" w:styleId="cat-UserDefinedgrp-33rplc-35">
    <w:name w:val="cat-UserDefined grp-33 rplc-35"/>
    <w:basedOn w:val="DefaultParagraphFont"/>
  </w:style>
  <w:style w:type="character" w:customStyle="1" w:styleId="cat-UserDefinedgrp-34rplc-36">
    <w:name w:val="cat-UserDefined grp-34 rplc-36"/>
    <w:basedOn w:val="DefaultParagraphFont"/>
  </w:style>
  <w:style w:type="character" w:customStyle="1" w:styleId="cat-UserDefinedgrp-35rplc-39">
    <w:name w:val="cat-UserDefined grp-35 rplc-39"/>
    <w:basedOn w:val="DefaultParagraphFont"/>
  </w:style>
  <w:style w:type="character" w:customStyle="1" w:styleId="cat-UserDefinedgrp-36rplc-42">
    <w:name w:val="cat-UserDefined grp-36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